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lang w:val="en-US"/>
        </w:rPr>
      </w:pPr>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i/>
          <w:color w:val="595959" w:themeColor="text1" w:themeTint="a6"/>
          <w:lang w:val="en-US"/>
        </w:rPr>
        <w:t>(Sustituir por el nombre del LAB)</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98"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8"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pPr>
            <w:bookmarkStart w:id="0" w:name="__UnoMark__3841_3912360019"/>
            <w:bookmarkEnd w:id="0"/>
            <w:r>
              <w:rPr>
                <w:b/>
                <w:bCs/>
                <w:lang w:val="en-US"/>
              </w:rPr>
              <w:t xml:space="preserve"> </w:t>
            </w:r>
            <w:r>
              <w:rPr>
                <w:b/>
                <w:bCs/>
                <w:lang w:val="en-US"/>
              </w:rPr>
              <w:t>EL ALMACÉN ELÉCTRICO</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rmal"/>
        <w:pBdr>
          <w:top w:val="single" w:sz="4" w:space="1" w:color="9CC2E5"/>
          <w:left w:val="single" w:sz="4" w:space="4" w:color="9CC2E5"/>
          <w:bottom w:val="single" w:sz="4" w:space="1" w:color="9CC2E5"/>
          <w:right w:val="single" w:sz="4" w:space="4" w:color="9CC2E5"/>
        </w:pBdr>
        <w:ind w:left="142" w:right="-427" w:hanging="0"/>
        <w:jc w:val="both"/>
        <w:rPr>
          <w:rFonts w:ascii="Calibri" w:hAnsi="Calibri" w:eastAsia="Calibri" w:cs="" w:asciiTheme="minorHAnsi" w:cstheme="minorBidi" w:eastAsiaTheme="minorHAnsi" w:hAnsiTheme="minorHAnsi"/>
          <w:b w:val="false"/>
          <w:b w:val="false"/>
          <w:bCs w:val="false"/>
          <w:color w:val="000000"/>
          <w:kern w:val="0"/>
          <w:sz w:val="20"/>
          <w:szCs w:val="20"/>
          <w:lang w:val="en-US" w:eastAsia="en-US" w:bidi="ar-SA"/>
        </w:rPr>
      </w:pPr>
      <w:r>
        <w:rPr>
          <w:rFonts w:eastAsia="Calibri" w:cs="" w:cstheme="minorBidi" w:eastAsiaTheme="minorHAnsi" w:ascii="Calibri" w:hAnsi="Calibri"/>
          <w:b w:val="false"/>
          <w:bCs w:val="false"/>
          <w:color w:val="000000"/>
          <w:kern w:val="0"/>
          <w:sz w:val="20"/>
          <w:szCs w:val="20"/>
          <w:lang w:val="en-US" w:eastAsia="en-US" w:bidi="ar-SA"/>
        </w:rPr>
        <w:t>E</w:t>
      </w:r>
      <w:r>
        <w:rPr>
          <w:rFonts w:eastAsia="Calibri" w:cs="" w:cstheme="minorBidi" w:eastAsiaTheme="minorHAnsi" w:ascii="Calibri" w:hAnsi="Calibri"/>
          <w:b w:val="false"/>
          <w:bCs w:val="false"/>
          <w:color w:val="000000"/>
          <w:kern w:val="0"/>
          <w:sz w:val="20"/>
          <w:szCs w:val="20"/>
          <w:lang w:val="en-US" w:eastAsia="en-US" w:bidi="ar-SA"/>
        </w:rPr>
        <w:t>l desarrollo de  soluciones de almacenamiento es necesario ya que l</w:t>
      </w:r>
      <w:r>
        <w:rPr>
          <w:rFonts w:eastAsia="Calibri" w:cs="" w:cstheme="minorBidi" w:eastAsiaTheme="minorHAnsi" w:ascii="Calibri" w:hAnsi="Calibri"/>
          <w:b w:val="false"/>
          <w:bCs w:val="false"/>
          <w:color w:val="000000"/>
          <w:kern w:val="0"/>
          <w:sz w:val="20"/>
          <w:szCs w:val="20"/>
          <w:lang w:val="en-US" w:eastAsia="en-US" w:bidi="ar-SA"/>
        </w:rPr>
        <w:t xml:space="preserve">a capacidad de almacenamiento en el sistema </w:t>
      </w:r>
      <w:r>
        <w:rPr>
          <w:rFonts w:eastAsia="Calibri" w:cs="" w:cstheme="minorBidi" w:eastAsiaTheme="minorHAnsi" w:ascii="Calibri" w:hAnsi="Calibri"/>
          <w:b w:val="false"/>
          <w:bCs w:val="false"/>
          <w:color w:val="000000"/>
          <w:kern w:val="0"/>
          <w:sz w:val="20"/>
          <w:szCs w:val="20"/>
          <w:lang w:val="en-US" w:eastAsia="en-US" w:bidi="ar-SA"/>
        </w:rPr>
        <w:t>eléctrico</w:t>
      </w:r>
      <w:r>
        <w:rPr>
          <w:rFonts w:eastAsia="Calibri" w:cs="" w:cstheme="minorBidi" w:eastAsiaTheme="minorHAnsi" w:ascii="Calibri" w:hAnsi="Calibri"/>
          <w:b w:val="false"/>
          <w:bCs w:val="false"/>
          <w:color w:val="000000"/>
          <w:kern w:val="0"/>
          <w:sz w:val="20"/>
          <w:szCs w:val="20"/>
          <w:lang w:val="en-US" w:eastAsia="en-US" w:bidi="ar-SA"/>
        </w:rPr>
        <w:t xml:space="preserve"> permite incrementar su flexibilidad y su </w:t>
      </w:r>
      <w:r>
        <w:rPr>
          <w:rFonts w:eastAsia="Calibri" w:cs="" w:cstheme="minorBidi" w:eastAsiaTheme="minorHAnsi" w:ascii="Calibri" w:hAnsi="Calibri"/>
          <w:b w:val="false"/>
          <w:bCs w:val="false"/>
          <w:color w:val="000000"/>
          <w:kern w:val="0"/>
          <w:sz w:val="20"/>
          <w:szCs w:val="20"/>
          <w:lang w:val="en-US" w:eastAsia="en-US" w:bidi="ar-SA"/>
        </w:rPr>
        <w:t>correcta  gestión,</w:t>
      </w:r>
    </w:p>
    <w:p>
      <w:pPr>
        <w:pStyle w:val="Normal"/>
        <w:pBdr>
          <w:top w:val="single" w:sz="4" w:space="1" w:color="9CC2E5"/>
          <w:left w:val="single" w:sz="4" w:space="4" w:color="9CC2E5"/>
          <w:bottom w:val="single" w:sz="4" w:space="1" w:color="9CC2E5"/>
          <w:right w:val="single" w:sz="4" w:space="4" w:color="9CC2E5"/>
        </w:pBdr>
        <w:ind w:left="142" w:right="-427" w:hanging="0"/>
        <w:jc w:val="both"/>
        <w:rPr>
          <w:rFonts w:ascii="Calibri" w:hAnsi="Calibri" w:eastAsia="Calibri" w:cs="" w:asciiTheme="minorHAnsi" w:cstheme="minorBidi" w:eastAsiaTheme="minorHAnsi" w:hAnsiTheme="minorHAnsi"/>
          <w:b w:val="false"/>
          <w:b w:val="false"/>
          <w:bCs w:val="false"/>
          <w:color w:val="000000"/>
          <w:kern w:val="0"/>
          <w:sz w:val="20"/>
          <w:szCs w:val="20"/>
          <w:lang w:val="en-US" w:eastAsia="en-US" w:bidi="ar-SA"/>
        </w:rPr>
      </w:pPr>
      <w:r>
        <w:rPr>
          <w:rFonts w:eastAsia="Calibri" w:cs="" w:cstheme="minorBidi" w:eastAsiaTheme="minorHAnsi" w:ascii="Calibri" w:hAnsi="Calibri"/>
          <w:b w:val="false"/>
          <w:bCs w:val="false"/>
          <w:color w:val="000000"/>
          <w:kern w:val="0"/>
          <w:sz w:val="20"/>
          <w:szCs w:val="20"/>
          <w:lang w:val="en-US" w:eastAsia="en-US" w:bidi="ar-SA"/>
        </w:rPr>
        <w:t>E</w:t>
      </w:r>
      <w:r>
        <w:rPr>
          <w:rFonts w:eastAsia="Calibri" w:cs="" w:cstheme="minorBidi" w:eastAsiaTheme="minorHAnsi" w:ascii="Calibri" w:hAnsi="Calibri"/>
          <w:b w:val="false"/>
          <w:bCs w:val="false"/>
          <w:color w:val="000000"/>
          <w:kern w:val="0"/>
          <w:sz w:val="20"/>
          <w:szCs w:val="20"/>
          <w:lang w:val="en-US" w:eastAsia="en-US" w:bidi="ar-SA"/>
        </w:rPr>
        <w:t xml:space="preserve">l almacenamiento de energía proporciona una capacidad de generación utilizable en los picos de consumo que permite reducir las necesidades de reserva convencional de generación, lo que se traduce en un beneficio económico porque se pueden evitar inversiones en </w:t>
      </w:r>
      <w:r>
        <w:rPr>
          <w:rFonts w:eastAsia="Calibri" w:cs="" w:cstheme="minorBidi" w:eastAsiaTheme="minorHAnsi" w:ascii="Calibri" w:hAnsi="Calibri"/>
          <w:b w:val="false"/>
          <w:bCs w:val="false"/>
          <w:color w:val="000000"/>
          <w:kern w:val="0"/>
          <w:sz w:val="20"/>
          <w:szCs w:val="20"/>
          <w:lang w:val="en-US" w:eastAsia="en-US" w:bidi="ar-SA"/>
        </w:rPr>
        <w:t>sistemas de producción.</w:t>
      </w:r>
    </w:p>
    <w:p>
      <w:pPr>
        <w:pStyle w:val="Normal"/>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rPr/>
      </w:pPr>
      <w:r>
        <w:rPr>
          <w:lang w:val="en-US"/>
        </w:rPr>
        <w:t>Contexto, razón de ser del reto</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pPr>
      <w:r>
        <w:rPr>
          <w:rFonts w:ascii="Calibri" w:hAnsi="Calibri"/>
          <w:b w:val="false"/>
          <w:bCs w:val="false"/>
          <w:color w:val="000000"/>
          <w:sz w:val="20"/>
          <w:szCs w:val="20"/>
          <w:lang w:val="en-US"/>
        </w:rPr>
        <w:t>L</w:t>
      </w:r>
      <w:r>
        <w:rPr>
          <w:rFonts w:ascii="Calibri" w:hAnsi="Calibri"/>
          <w:b w:val="false"/>
          <w:bCs w:val="false"/>
          <w:color w:val="000000"/>
          <w:sz w:val="20"/>
          <w:szCs w:val="20"/>
          <w:lang w:val="en-US"/>
        </w:rPr>
        <w:t xml:space="preserve">a red eléctrica actual no se construyó pensando en las energías renovables, sino en las grandes centrales eléctricas que operan 24 horas al día. </w:t>
      </w:r>
      <w:r>
        <w:rPr>
          <w:rFonts w:ascii="Calibri" w:hAnsi="Calibri"/>
          <w:b w:val="false"/>
          <w:bCs w:val="false"/>
          <w:color w:val="000000"/>
          <w:sz w:val="20"/>
          <w:szCs w:val="20"/>
          <w:lang w:val="en-US"/>
        </w:rPr>
        <w:t xml:space="preserve">La variabilidad y la dificultad de su producción son factores que limitan la  gestión que se puede realizar de las energías renovables. </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pPr>
      <w:r>
        <w:rPr>
          <w:rFonts w:ascii="Calibri" w:hAnsi="Calibri"/>
          <w:b w:val="false"/>
          <w:bCs w:val="false"/>
          <w:color w:val="000000"/>
          <w:sz w:val="20"/>
          <w:szCs w:val="20"/>
          <w:lang w:val="en-US"/>
        </w:rPr>
        <w:t>P</w:t>
      </w:r>
      <w:r>
        <w:rPr>
          <w:rFonts w:ascii="Calibri" w:hAnsi="Calibri"/>
          <w:b w:val="false"/>
          <w:bCs w:val="false"/>
          <w:color w:val="000000"/>
          <w:sz w:val="20"/>
          <w:szCs w:val="20"/>
          <w:lang w:val="en-US"/>
        </w:rPr>
        <w:t xml:space="preserve">ara que se pueda integrar con seguridad un alto contingente de energías de carácter renovable, será preciso dotar a la operación del sistema eléctrico de un </w:t>
      </w:r>
      <w:r>
        <w:rPr>
          <w:rFonts w:ascii="Calibri" w:hAnsi="Calibri"/>
          <w:b w:val="false"/>
          <w:bCs w:val="false"/>
          <w:color w:val="000000"/>
          <w:sz w:val="20"/>
          <w:szCs w:val="20"/>
          <w:lang w:val="en-US"/>
        </w:rPr>
        <w:t>conjunto</w:t>
      </w:r>
      <w:r>
        <w:rPr>
          <w:rFonts w:ascii="Calibri" w:hAnsi="Calibri"/>
          <w:b w:val="false"/>
          <w:bCs w:val="false"/>
          <w:color w:val="000000"/>
          <w:sz w:val="20"/>
          <w:szCs w:val="20"/>
          <w:lang w:val="en-US"/>
        </w:rPr>
        <w:t xml:space="preserve"> de herramientas que hagan posible su integración segura en el sistema. </w:t>
      </w:r>
      <w:r>
        <w:rPr>
          <w:rFonts w:ascii="Calibri" w:hAnsi="Calibri"/>
          <w:b w:val="false"/>
          <w:bCs w:val="false"/>
          <w:color w:val="000000"/>
          <w:sz w:val="20"/>
          <w:szCs w:val="20"/>
          <w:lang w:val="en-US"/>
        </w:rPr>
        <w:t>(En relación con el Reto 1).</w:t>
      </w:r>
    </w:p>
    <w:p>
      <w:pPr>
        <w:pStyle w:val="Normal"/>
        <w:pBdr>
          <w:top w:val="single" w:sz="4" w:space="1" w:color="9CC2E5"/>
          <w:left w:val="single" w:sz="4" w:space="4" w:color="9CC2E5"/>
          <w:bottom w:val="single" w:sz="4" w:space="1" w:color="9CC2E5"/>
          <w:right w:val="single" w:sz="4" w:space="4" w:color="9CC2E5"/>
        </w:pBdr>
        <w:ind w:left="142" w:right="-427" w:hanging="0"/>
        <w:jc w:val="both"/>
        <w:rPr/>
      </w:pPr>
      <w:r>
        <w:rPr>
          <w:rFonts w:ascii="Calibri" w:hAnsi="Calibri"/>
          <w:b w:val="false"/>
          <w:bCs w:val="false"/>
          <w:color w:val="000000"/>
          <w:sz w:val="20"/>
          <w:szCs w:val="20"/>
          <w:lang w:val="en-US"/>
        </w:rPr>
        <w:t>L</w:t>
      </w:r>
      <w:r>
        <w:rPr>
          <w:rFonts w:ascii="Calibri" w:hAnsi="Calibri"/>
          <w:b w:val="false"/>
          <w:bCs w:val="false"/>
          <w:color w:val="000000"/>
          <w:sz w:val="20"/>
          <w:szCs w:val="20"/>
          <w:lang w:val="en-US"/>
        </w:rPr>
        <w:t xml:space="preserve">os excesos de producción renovable, </w:t>
      </w:r>
      <w:r>
        <w:rPr>
          <w:rFonts w:ascii="Calibri" w:hAnsi="Calibri"/>
          <w:b w:val="false"/>
          <w:bCs w:val="false"/>
          <w:color w:val="000000"/>
          <w:sz w:val="20"/>
          <w:szCs w:val="20"/>
          <w:lang w:val="en-US"/>
        </w:rPr>
        <w:t>deben ser o bien consumidos (si se han desarrollado actuaciones de gestión de demanda o en vehículos eléctricos) o bien exportados o bien almacenados..</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rFonts w:ascii="Calibri" w:hAnsi="Calibri"/>
          <w:b w:val="false"/>
          <w:b w:val="false"/>
          <w:bCs w:val="false"/>
          <w:color w:val="000000"/>
          <w:sz w:val="20"/>
          <w:szCs w:val="20"/>
          <w:lang w:val="en-US"/>
        </w:rPr>
      </w:pPr>
      <w:r>
        <w:rPr/>
      </w:r>
    </w:p>
    <w:p>
      <w:pPr>
        <w:pStyle w:val="Cuerpodetexto"/>
        <w:jc w:val="both"/>
        <w:rPr>
          <w:lang w:val="en-US"/>
        </w:rPr>
      </w:pPr>
      <w:r>
        <w:rPr>
          <w:lang w:val="en-US"/>
        </w:rPr>
      </w:r>
    </w:p>
    <w:p>
      <w:pPr>
        <w:pStyle w:val="NoSpacing"/>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Problemas principales: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Aplanamiento de la curva de demanda eléctrica.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Impredicibilidad de producción de renovables.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 xml:space="preserve">Uso mayoritario de combustibles fósiles.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Poca participación de los consumidores en la gestión de la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Desarrollar sistemas de almacenamiento innovadores.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Desarrollar soluciones basadas en la electroquímica.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Aprovechar el potencial de almacenamiento del vehículo eléctrico.</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Promover la movilidad sostenible.</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Dificultad en la gestión de la demanda y consumo por parte de los consumidores.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Implantación lenta del vehículo eléctrico.</w:t>
      </w:r>
    </w:p>
    <w:p>
      <w:pPr>
        <w:pStyle w:val="NoSpacing"/>
        <w:rPr>
          <w:lang w:val="en-US"/>
        </w:rPr>
      </w:pPr>
      <w:r>
        <w:rPr/>
      </w:r>
    </w:p>
    <w:p>
      <w:pPr>
        <w:pStyle w:val="NoSpacing"/>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Conseguir en el año 2020,  que la Comunitat Valenciana se posicione entre las 2</w:t>
      </w:r>
      <w:bookmarkStart w:id="1" w:name="__UnoMark__4712_3912360019"/>
      <w:bookmarkEnd w:id="1"/>
      <w:r>
        <w:rPr>
          <w:lang w:val="en-US"/>
        </w:rPr>
        <w:t>0 primeras regiones fabricantes de soluciones de almacenamiento a nivel europeo.</w:t>
      </w:r>
      <w:bookmarkStart w:id="2" w:name="__UnoMark__4711_3912360019"/>
      <w:bookmarkEnd w:id="2"/>
      <w:r>
        <w:rPr>
          <w:lang w:val="en-US"/>
        </w:rPr>
        <w:t xml:space="preserve">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Otra información relevante (material de referencia, proyectos desarrollados, enlaces, </w:t>
      </w:r>
      <w:r>
        <w:rPr>
          <w:i/>
          <w:lang w:val="en-US"/>
        </w:rPr>
        <w:t>websites</w:t>
      </w:r>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WEB EUROPEAN COMISSION, SMART SPESIALISATION PLATFORM: http://s3platform.jrc.ec.europa.eu/s3p-energy</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European Technology &amp; Innovation Platforms (ETIPs) www.etip-snet.eu</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DEL INSTITUTO TECNOLÓGICO DE ENERGÍA: http://www.ite.es/idi/smartgrids/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DEL INSTITUTO CATALÁN DE LA ENERGÍA: http://icaen.gencat.cat/es/energia/smart-grids/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ENERGÍA Y SOCIEDAD: http://www.energiaysociedad.es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SMART GRIDS INFO. Todo sobre redes eléctricas inteligentes: https://www.smartgridsinfo.es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98"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8"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9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8" w:type="dxa"/>
            </w:tcMar>
          </w:tcPr>
          <w:p>
            <w:pPr>
              <w:pStyle w:val="Normal"/>
              <w:spacing w:lineRule="auto" w:line="240" w:before="0" w:after="0"/>
              <w:rPr>
                <w:b/>
                <w:b/>
                <w:bCs/>
                <w:lang w:val="en-US"/>
              </w:rPr>
            </w:pPr>
            <w:r>
              <w:rPr>
                <w:b/>
                <w:bCs/>
                <w:lang w:val="en-US"/>
              </w:rPr>
            </w:r>
          </w:p>
        </w:tc>
        <w:tc>
          <w:tcPr>
            <w:tcW w:w="3260"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sectPr>
          <w:type w:val="nextPage"/>
          <w:pgSz w:w="11906" w:h="16838"/>
          <w:pgMar w:left="1701" w:right="1701" w:header="0" w:top="1417" w:footer="0" w:bottom="1417" w:gutter="0"/>
          <w:pgNumType w:fmt="decimal"/>
          <w:formProt w:val="false"/>
          <w:textDirection w:val="lrTb"/>
          <w:docGrid w:type="default" w:linePitch="360" w:charSpace="4096"/>
        </w:sectPr>
      </w:pPr>
    </w:p>
    <w:p>
      <w:pPr>
        <w:pStyle w:val="Ttulo1"/>
        <w:rPr/>
      </w:pPr>
      <w:r>
        <w:drawing>
          <wp:anchor behindDoc="0" distT="0" distB="0" distL="114300" distR="116840" simplePos="0" locked="0" layoutInCell="1" allowOverlap="1" relativeHeight="3">
            <wp:simplePos x="0" y="0"/>
            <wp:positionH relativeFrom="column">
              <wp:posOffset>-3810</wp:posOffset>
            </wp:positionH>
            <wp:positionV relativeFrom="paragraph">
              <wp:posOffset>67945</wp:posOffset>
            </wp:positionV>
            <wp:extent cx="530860" cy="819150"/>
            <wp:effectExtent l="0" t="0" r="0" b="0"/>
            <wp:wrapTight wrapText="bothSides">
              <wp:wrapPolygon edited="0">
                <wp:start x="8395" y="0"/>
                <wp:lineTo x="2976" y="3829"/>
                <wp:lineTo x="-38" y="6311"/>
                <wp:lineTo x="-38" y="17376"/>
                <wp:lineTo x="2976" y="20852"/>
                <wp:lineTo x="4541" y="20852"/>
                <wp:lineTo x="16180" y="20852"/>
                <wp:lineTo x="20836" y="18866"/>
                <wp:lineTo x="20836" y="10851"/>
                <wp:lineTo x="7632" y="7872"/>
                <wp:lineTo x="15379" y="7376"/>
                <wp:lineTo x="18508" y="4822"/>
                <wp:lineTo x="16180" y="0"/>
                <wp:lineTo x="8395" y="0"/>
              </wp:wrapPolygon>
            </wp:wrapTigh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rcRect l="14271" t="0" r="50966" b="0"/>
                    <a:stretch>
                      <a:fillRect/>
                    </a:stretch>
                  </pic:blipFill>
                  <pic:spPr bwMode="auto">
                    <a:xfrm>
                      <a:off x="0" y="0"/>
                      <a:ext cx="530860" cy="819150"/>
                    </a:xfrm>
                    <a:prstGeom prst="rect">
                      <a:avLst/>
                    </a:prstGeom>
                  </pic:spPr>
                </pic:pic>
              </a:graphicData>
            </a:graphic>
          </wp:anchor>
        </w:drawing>
      </w:r>
      <w:r>
        <w:rPr>
          <w:lang w:val="en-US"/>
        </w:rPr>
        <w:t xml:space="preserve"> </w:t>
      </w:r>
      <w:r>
        <w:rPr>
          <w:lang w:val="en-US"/>
        </w:rPr>
        <w:t xml:space="preserve">LAB </w:t>
      </w:r>
      <w:r>
        <w:rPr>
          <w:b/>
          <w:bCs/>
          <w:i/>
          <w:color w:val="595959" w:themeColor="text1" w:themeTint="a6"/>
          <w:lang w:val="en-US"/>
        </w:rPr>
        <w:t>SMART GRIDS</w:t>
      </w:r>
    </w:p>
    <w:p>
      <w:pPr>
        <w:pStyle w:val="Ttulo2"/>
        <w:rPr/>
      </w:pPr>
      <w:r>
        <w:rPr>
          <w:lang w:val="en-US"/>
        </w:rPr>
        <w:t xml:space="preserve">RETO </w:t>
      </w:r>
      <w:r>
        <w:rPr>
          <w:b/>
          <w:bCs/>
          <w:i/>
          <w:color w:val="595959" w:themeColor="text1" w:themeTint="a6"/>
          <w:lang w:val="en-US"/>
        </w:rPr>
        <w:t>EL ALMACÉN ELÉCTRICO</w:t>
      </w:r>
    </w:p>
    <w:p>
      <w:pPr>
        <w:pStyle w:val="Ttulo2"/>
        <w:rPr>
          <w:lang w:val="en-US"/>
        </w:rPr>
      </w:pPr>
      <w:r>
        <w:rPr>
          <w:lang w:val="en-US"/>
        </w:rPr>
        <w:t>FORMULARIO PARA DEBATIR LA DEFINICIÓN DEL RETO</w:t>
      </w:r>
    </w:p>
    <w:tbl>
      <w:tblPr>
        <w:tblStyle w:val="Tablaconcuadrcula"/>
        <w:tblW w:w="10456" w:type="dxa"/>
        <w:jc w:val="left"/>
        <w:tblInd w:w="0" w:type="dxa"/>
        <w:tblCellMar>
          <w:top w:w="0" w:type="dxa"/>
          <w:left w:w="98" w:type="dxa"/>
          <w:bottom w:w="0" w:type="dxa"/>
          <w:right w:w="108" w:type="dxa"/>
        </w:tblCellMar>
        <w:tblLook w:firstRow="1" w:noVBand="1" w:lastRow="0" w:firstColumn="1" w:lastColumn="0" w:noHBand="0" w:val="04a0"/>
      </w:tblPr>
      <w:tblGrid>
        <w:gridCol w:w="2689"/>
        <w:gridCol w:w="2551"/>
        <w:gridCol w:w="2551"/>
        <w:gridCol w:w="2664"/>
      </w:tblGrid>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i/>
                <w:i/>
                <w:sz w:val="20"/>
                <w:lang w:val="en-US"/>
              </w:rPr>
            </w:pPr>
            <w:r>
              <w:rPr>
                <w:lang w:val="en-US"/>
              </w:rPr>
              <w:t>Palabras clave</w:t>
            </w:r>
            <w:r>
              <w:rPr>
                <w:i/>
                <w:sz w:val="20"/>
                <w:lang w:val="en-US"/>
              </w:rPr>
              <w:t xml:space="preserve"> </w:t>
            </w:r>
          </w:p>
          <w:p>
            <w:pPr>
              <w:pStyle w:val="NoSpacing"/>
              <w:spacing w:lineRule="auto" w:line="240" w:before="0" w:after="0"/>
              <w:rPr>
                <w:lang w:val="en-US"/>
              </w:rPr>
            </w:pPr>
            <w:r>
              <w:rPr>
                <w:i/>
                <w:sz w:val="20"/>
                <w:lang w:val="en-US"/>
              </w:rPr>
              <w:t>(para analizar el reto)</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pPr>
            <w:r>
              <w:rPr>
                <w:lang w:val="en-US"/>
              </w:rPr>
              <w:t>Hipótesis de trabajo</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Oportunidades</w:t>
            </w:r>
          </w:p>
          <w:p>
            <w:pPr>
              <w:pStyle w:val="NoSpacing"/>
              <w:spacing w:lineRule="auto" w:line="240" w:before="0" w:after="0"/>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Riesgos</w:t>
            </w:r>
          </w:p>
          <w:p>
            <w:pPr>
              <w:pStyle w:val="NoSpacing"/>
              <w:spacing w:lineRule="auto" w:line="240" w:before="0" w:after="0"/>
              <w:rPr>
                <w:lang w:val="en-US"/>
              </w:rPr>
            </w:pPr>
            <w:r>
              <w:rPr>
                <w:lang w:val="en-US"/>
              </w:rPr>
            </w:r>
          </w:p>
        </w:tc>
      </w:tr>
      <w:tr>
        <w:trPr/>
        <w:tc>
          <w:tcPr>
            <w:tcW w:w="2689"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Preguntas que nos hacemos desde la 4H</w:t>
            </w:r>
            <w:r>
              <w:rPr>
                <w:sz w:val="20"/>
                <w:lang w:val="en-US"/>
              </w:rPr>
              <w:t xml:space="preserve"> para las que aún no tenemos respuesta</w:t>
            </w:r>
          </w:p>
          <w:p>
            <w:pPr>
              <w:pStyle w:val="NoSpacing"/>
              <w:spacing w:lineRule="auto" w:line="240" w:before="0" w:after="0"/>
              <w:rPr>
                <w:sz w:val="20"/>
                <w:lang w:val="en-US"/>
              </w:rPr>
            </w:pPr>
            <w:r>
              <w:rPr>
                <w:i/>
                <w:sz w:val="20"/>
                <w:lang w:val="en-US"/>
              </w:rPr>
              <w:t xml:space="preserve">(¿por qué?, ¿qué pasaría si…? ¿Cómo se podría?) </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rPr>
                <w:b/>
                <w:b/>
                <w:lang w:val="en-US"/>
              </w:rPr>
            </w:pPr>
            <w:r>
              <w:rPr>
                <w:b/>
                <w:lang w:val="en-US"/>
              </w:rPr>
              <w:t>Ciudadanía</w:t>
            </w:r>
          </w:p>
          <w:p>
            <w:pPr>
              <w:pStyle w:val="NoSpacing"/>
              <w:spacing w:lineRule="auto" w:line="240" w:before="0" w:after="0"/>
              <w:rPr>
                <w:i/>
                <w:i/>
                <w:sz w:val="20"/>
                <w:lang w:val="en-US"/>
              </w:rPr>
            </w:pPr>
            <w:r>
              <w:rPr>
                <w:i/>
                <w:sz w:val="20"/>
                <w:lang w:val="en-US"/>
              </w:rPr>
              <w:t>(¿qué gana? ¿qué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mc:AlternateContent>
                <mc:Choice Requires="wps">
                  <w:drawing>
                    <wp:anchor behindDoc="0" distT="0" distB="0" distL="114300" distR="114300" simplePos="0" locked="0" layoutInCell="1" allowOverlap="1" relativeHeight="4">
                      <wp:simplePos x="0" y="0"/>
                      <wp:positionH relativeFrom="column">
                        <wp:posOffset>1192530</wp:posOffset>
                      </wp:positionH>
                      <wp:positionV relativeFrom="paragraph">
                        <wp:posOffset>173355</wp:posOffset>
                      </wp:positionV>
                      <wp:extent cx="687705" cy="687705"/>
                      <wp:effectExtent l="0" t="0" r="19050" b="19050"/>
                      <wp:wrapNone/>
                      <wp:docPr id="3" name="Anillo 2"/>
                      <a:graphic xmlns:a="http://schemas.openxmlformats.org/drawingml/2006/main">
                        <a:graphicData uri="http://schemas.microsoft.com/office/word/2010/wordprocessingShape">
                          <wps:wsp>
                            <wps:cNvSpPr/>
                            <wps:spPr>
                              <a:xfrm>
                                <a:off x="0" y="0"/>
                                <a:ext cx="687240" cy="687240"/>
                              </a:xfrm>
                              <a:prstGeom prst="donut">
                                <a:avLst>
                                  <a:gd name="adj" fmla="val 24906"/>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Anillo 2" fillcolor="#5b9bd5" stroked="t" style="position:absolute;margin-left:93.9pt;margin-top:13.65pt;width:54.05pt;height:54.05pt" type="shapetype_23">
                      <w10:wrap type="none"/>
                      <v:fill o:detectmouseclick="t" type="solid" color2="#a4642a"/>
                      <v:stroke color="#43729d" weight="12600" joinstyle="miter" endcap="flat"/>
                    </v:shape>
                  </w:pict>
                </mc:Fallback>
              </mc:AlternateConten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jc w:val="right"/>
              <w:rPr>
                <w:b/>
                <w:b/>
                <w:lang w:val="en-US"/>
              </w:rPr>
            </w:pPr>
            <w:r>
              <w:rPr>
                <w:b/>
                <w:lang w:val="en-US"/>
              </w:rPr>
              <w:t>Agentes conocimiento</w:t>
            </w:r>
          </w:p>
          <w:p>
            <w:pPr>
              <w:pStyle w:val="NoSpacing"/>
              <w:spacing w:lineRule="auto" w:line="240" w:before="0" w:after="0"/>
              <w:jc w:val="right"/>
              <w:rPr>
                <w:i/>
                <w:i/>
                <w:sz w:val="20"/>
                <w:lang w:val="en-US"/>
              </w:rPr>
            </w:pPr>
            <w:r>
              <w:rPr>
                <w:i/>
                <w:sz w:val="20"/>
                <w:lang w:val="en-US"/>
              </w:rPr>
              <w:t>(¿qué ganan? ¿qué han de hacer?)</w:t>
            </w:r>
          </w:p>
          <w:p>
            <w:pPr>
              <w:pStyle w:val="NoSpacing"/>
              <w:spacing w:lineRule="auto" w:line="240" w:before="0" w:after="0"/>
              <w:jc w:val="right"/>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Posibles socios</w:t>
            </w:r>
          </w:p>
          <w:p>
            <w:pPr>
              <w:pStyle w:val="NoSpacing"/>
              <w:spacing w:lineRule="auto" w:line="240" w:before="0" w:after="0"/>
              <w:rPr>
                <w:lang w:val="en-US"/>
              </w:rPr>
            </w:pPr>
            <w:r>
              <w:rPr>
                <w:lang w:val="en-US"/>
              </w:rPr>
            </w:r>
          </w:p>
        </w:tc>
      </w:tr>
      <w:tr>
        <w:trPr/>
        <w:tc>
          <w:tcPr>
            <w:tcW w:w="2689"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rPr>
                <w:b/>
                <w:b/>
                <w:lang w:val="en-US"/>
              </w:rPr>
            </w:pPr>
            <w:r>
              <w:rPr>
                <w:b/>
                <w:lang w:val="en-US"/>
              </w:rPr>
              <w:t>Administración</w:t>
            </w:r>
          </w:p>
          <w:p>
            <w:pPr>
              <w:pStyle w:val="NoSpacing"/>
              <w:spacing w:lineRule="auto" w:line="240" w:before="0" w:after="0"/>
              <w:rPr>
                <w:i/>
                <w:i/>
                <w:sz w:val="20"/>
                <w:lang w:val="en-US"/>
              </w:rPr>
            </w:pPr>
            <w:r>
              <w:rPr>
                <w:i/>
                <w:sz w:val="20"/>
                <w:lang w:val="en-US"/>
              </w:rPr>
              <w:t>(¿qué gana?</w:t>
            </w:r>
          </w:p>
          <w:p>
            <w:pPr>
              <w:pStyle w:val="NoSpacing"/>
              <w:spacing w:lineRule="auto" w:line="240" w:before="0" w:after="0"/>
              <w:rPr>
                <w:i/>
                <w:i/>
                <w:sz w:val="20"/>
                <w:lang w:val="en-US"/>
              </w:rPr>
            </w:pPr>
            <w:r>
              <w:rPr>
                <w:i/>
                <w:sz w:val="20"/>
                <w:lang w:val="en-US"/>
              </w:rPr>
              <w:t>¿qué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8" w:type="dxa"/>
            </w:tcMar>
          </w:tcPr>
          <w:p>
            <w:pPr>
              <w:pStyle w:val="NoSpacing"/>
              <w:spacing w:lineRule="auto" w:line="240" w:before="0" w:after="0"/>
              <w:jc w:val="right"/>
              <w:rPr>
                <w:b/>
                <w:b/>
                <w:lang w:val="en-US"/>
              </w:rPr>
            </w:pPr>
            <w:r>
              <w:rPr>
                <w:b/>
                <w:lang w:val="en-US"/>
              </w:rPr>
              <w:t>Empresa</w:t>
            </w:r>
          </w:p>
          <w:p>
            <w:pPr>
              <w:pStyle w:val="NoSpacing"/>
              <w:spacing w:lineRule="auto" w:line="240" w:before="0" w:after="0"/>
              <w:jc w:val="right"/>
              <w:rPr>
                <w:i/>
                <w:i/>
                <w:sz w:val="20"/>
                <w:lang w:val="en-US"/>
              </w:rPr>
            </w:pPr>
            <w:r>
              <w:rPr>
                <w:i/>
                <w:sz w:val="20"/>
                <w:lang w:val="en-US"/>
              </w:rPr>
              <w:t>(¿qué gana?</w:t>
            </w:r>
          </w:p>
          <w:p>
            <w:pPr>
              <w:pStyle w:val="NoSpacing"/>
              <w:spacing w:lineRule="auto" w:line="240" w:before="0" w:after="0"/>
              <w:jc w:val="right"/>
              <w:rPr>
                <w:i/>
                <w:i/>
                <w:sz w:val="20"/>
                <w:lang w:val="en-US"/>
              </w:rPr>
            </w:pPr>
            <w:r>
              <w:rPr>
                <w:i/>
                <w:sz w:val="20"/>
                <w:lang w:val="en-US"/>
              </w:rPr>
              <w:t>¿qué ha de hacer?)</w:t>
            </w:r>
          </w:p>
          <w:p>
            <w:pPr>
              <w:pStyle w:val="NoSpacing"/>
              <w:spacing w:lineRule="auto" w:line="240" w:before="0" w:after="0"/>
              <w:jc w:val="right"/>
              <w:rPr>
                <w:lang w:val="en-US"/>
              </w:rPr>
            </w:pPr>
            <w:r>
              <w:rPr>
                <w:lang w:val="en-US"/>
              </w:rPr>
            </w:r>
          </w:p>
        </w:tc>
        <w:tc>
          <w:tcPr>
            <w:tcW w:w="2664"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Resultados esperados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r>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i/>
                <w:i/>
                <w:sz w:val="20"/>
                <w:lang w:val="en-US"/>
              </w:rPr>
            </w:pPr>
            <w:r>
              <w:rPr>
                <w:lang w:val="en-US"/>
              </w:rPr>
              <w:t>Preguntas para entender el reto para las que hay una respuesta</w:t>
            </w:r>
            <w:r>
              <w:rPr>
                <w:i/>
                <w:sz w:val="20"/>
                <w:lang w:val="en-US"/>
              </w:rPr>
              <w:t xml:space="preserve"> </w:t>
            </w:r>
          </w:p>
          <w:p>
            <w:pPr>
              <w:pStyle w:val="NoSpacing"/>
              <w:spacing w:lineRule="auto" w:line="240" w:before="0" w:after="0"/>
              <w:rPr>
                <w:lang w:val="en-US"/>
              </w:rPr>
            </w:pPr>
            <w:r>
              <w:rPr>
                <w:i/>
                <w:sz w:val="20"/>
                <w:lang w:val="en-US"/>
              </w:rPr>
              <w:t>(¿qué? ¿quién? ¿cómo?)</w:t>
            </w:r>
            <w:r>
              <w:rPr>
                <w:sz w:val="20"/>
                <w:lang w:val="en-US"/>
              </w:rPr>
              <w:t xml:space="preserve"> </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bookmarkStart w:id="3" w:name="_GoBack"/>
            <w:bookmarkStart w:id="4" w:name="_GoBack"/>
            <w:bookmarkEnd w:id="4"/>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5102" w:type="dxa"/>
            <w:gridSpan w:val="2"/>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t xml:space="preserve">Proyectos piloto </w:t>
            </w:r>
          </w:p>
          <w:p>
            <w:pPr>
              <w:pStyle w:val="NoSpacing"/>
              <w:spacing w:lineRule="auto" w:line="240" w:before="0" w:after="0"/>
              <w:rPr>
                <w:i/>
                <w:i/>
                <w:sz w:val="20"/>
                <w:lang w:val="en-US"/>
              </w:rPr>
            </w:pPr>
            <w:r>
              <w:rPr>
                <w:i/>
                <w:sz w:val="20"/>
                <w:lang w:val="en-US"/>
              </w:rPr>
              <w:t>(Incluyendo objetivos, actuaciones, fases y agentes implicados)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664"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8" w:type="dxa"/>
            </w:tcMar>
          </w:tcPr>
          <w:p>
            <w:pPr>
              <w:pStyle w:val="NoSpacing"/>
              <w:spacing w:lineRule="auto" w:line="240" w:before="0" w:after="0"/>
              <w:rPr>
                <w:lang w:val="en-US"/>
              </w:rPr>
            </w:pPr>
            <w:r>
              <w:rPr>
                <w:lang w:val="en-US"/>
              </w:rPr>
            </w:r>
          </w:p>
        </w:tc>
      </w:tr>
    </w:tbl>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Application>LibreOffice/5.4.6.2$Windows_x86 LibreOffice_project/4014ce260a04f1026ba855d3b8d91541c224eab8</Application>
  <Pages>3</Pages>
  <Words>519</Words>
  <Characters>3258</Characters>
  <CharactersWithSpaces>3725</CharactersWithSpaces>
  <Paragraphs>67</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2018-06-11T08:03:00Z</cp:lastPrinted>
  <dcterms:modified xsi:type="dcterms:W3CDTF">2018-11-20T15:51:49Z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